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CAD" w:rsidRDefault="00AC6CAD" w:rsidP="00AC6CAD">
      <w:pPr>
        <w:rPr>
          <w:b/>
          <w:bCs/>
        </w:rPr>
      </w:pPr>
      <w:r>
        <w:rPr>
          <w:noProof/>
        </w:rPr>
        <w:drawing>
          <wp:inline distT="0" distB="0" distL="0" distR="0" wp14:anchorId="6E00ED94" wp14:editId="5D34F8A9">
            <wp:extent cx="2075180" cy="620395"/>
            <wp:effectExtent l="0" t="0" r="1270" b="8255"/>
            <wp:docPr id="1" name="Picture 1" descr="Office of the Registrar of Indigenous Corpor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ffice of the Registrar of Indigenous Corporation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5180" cy="620395"/>
                    </a:xfrm>
                    <a:prstGeom prst="rect">
                      <a:avLst/>
                    </a:prstGeom>
                    <a:noFill/>
                    <a:ln>
                      <a:noFill/>
                    </a:ln>
                  </pic:spPr>
                </pic:pic>
              </a:graphicData>
            </a:graphic>
          </wp:inline>
        </w:drawing>
      </w:r>
    </w:p>
    <w:p w:rsidR="00AC6CAD" w:rsidRPr="00AC6CAD" w:rsidRDefault="00AC6CAD" w:rsidP="00AC6CAD">
      <w:pPr>
        <w:jc w:val="center"/>
        <w:rPr>
          <w:b/>
          <w:bCs/>
          <w:color w:val="FF0000"/>
          <w:sz w:val="32"/>
          <w:szCs w:val="32"/>
        </w:rPr>
      </w:pPr>
      <w:r w:rsidRPr="00AC6CAD">
        <w:rPr>
          <w:b/>
          <w:bCs/>
          <w:color w:val="FF0000"/>
          <w:sz w:val="32"/>
          <w:szCs w:val="32"/>
        </w:rPr>
        <w:t xml:space="preserve">The Power’s that the Office of the Registrar in relation to </w:t>
      </w:r>
      <w:r w:rsidRPr="00AC6CAD">
        <w:rPr>
          <w:b/>
          <w:bCs/>
          <w:i/>
          <w:iCs/>
          <w:color w:val="FF0000"/>
          <w:sz w:val="32"/>
          <w:szCs w:val="32"/>
        </w:rPr>
        <w:t>Corporations (Aboriginal and Torres Strait Islander) Act 2006</w:t>
      </w:r>
      <w:r w:rsidRPr="00AC6CAD">
        <w:rPr>
          <w:b/>
          <w:bCs/>
          <w:color w:val="FF0000"/>
          <w:sz w:val="32"/>
          <w:szCs w:val="32"/>
        </w:rPr>
        <w:t> (CATSI Act)</w:t>
      </w:r>
    </w:p>
    <w:p w:rsidR="00AC6CAD" w:rsidRPr="00AC6CAD" w:rsidRDefault="00AC6CAD" w:rsidP="00AC6CAD">
      <w:pPr>
        <w:jc w:val="center"/>
        <w:rPr>
          <w:b/>
          <w:bCs/>
          <w:color w:val="FF0000"/>
          <w:sz w:val="32"/>
          <w:szCs w:val="32"/>
        </w:rPr>
      </w:pPr>
      <w:r w:rsidRPr="00AC6CAD">
        <w:rPr>
          <w:b/>
          <w:bCs/>
          <w:color w:val="FF0000"/>
          <w:sz w:val="32"/>
          <w:szCs w:val="32"/>
        </w:rPr>
        <w:t xml:space="preserve">What they can do </w:t>
      </w:r>
      <w:r>
        <w:rPr>
          <w:b/>
          <w:bCs/>
          <w:color w:val="FF0000"/>
          <w:sz w:val="32"/>
          <w:szCs w:val="32"/>
        </w:rPr>
        <w:t xml:space="preserve">to your organization </w:t>
      </w:r>
      <w:r w:rsidRPr="00AC6CAD">
        <w:rPr>
          <w:b/>
          <w:bCs/>
          <w:color w:val="FF0000"/>
          <w:sz w:val="32"/>
          <w:szCs w:val="32"/>
        </w:rPr>
        <w:t>under the law…….</w:t>
      </w:r>
    </w:p>
    <w:p w:rsidR="00AC6CAD" w:rsidRPr="00AC6CAD" w:rsidRDefault="00AC6CAD" w:rsidP="00AC6CAD">
      <w:pPr>
        <w:rPr>
          <w:b/>
          <w:bCs/>
          <w:sz w:val="24"/>
          <w:szCs w:val="24"/>
        </w:rPr>
      </w:pPr>
      <w:hyperlink r:id="rId7" w:history="1">
        <w:r w:rsidRPr="00AC6CAD">
          <w:rPr>
            <w:rStyle w:val="Hyperlink"/>
            <w:b/>
            <w:bCs/>
            <w:sz w:val="24"/>
            <w:szCs w:val="24"/>
          </w:rPr>
          <w:t>Regulatory powers</w:t>
        </w:r>
      </w:hyperlink>
      <w:r w:rsidRPr="00AC6CAD">
        <w:rPr>
          <w:b/>
          <w:bCs/>
          <w:sz w:val="24"/>
          <w:szCs w:val="24"/>
        </w:rPr>
        <w:t> </w:t>
      </w:r>
      <w:bookmarkStart w:id="0" w:name="_GoBack"/>
      <w:bookmarkEnd w:id="0"/>
    </w:p>
    <w:p w:rsidR="00AC6CAD" w:rsidRPr="00AC6CAD" w:rsidRDefault="00AC6CAD" w:rsidP="00AC6CAD">
      <w:pPr>
        <w:rPr>
          <w:sz w:val="24"/>
          <w:szCs w:val="24"/>
        </w:rPr>
      </w:pPr>
      <w:r w:rsidRPr="00AC6CAD">
        <w:rPr>
          <w:sz w:val="24"/>
          <w:szCs w:val="24"/>
        </w:rPr>
        <w:t>The Registrar has a number of regulatory powers under the </w:t>
      </w:r>
      <w:r w:rsidRPr="00AC6CAD">
        <w:rPr>
          <w:i/>
          <w:iCs/>
          <w:sz w:val="24"/>
          <w:szCs w:val="24"/>
        </w:rPr>
        <w:t>Corporations (Aboriginal and Torres Strait Islander) Act 2006</w:t>
      </w:r>
      <w:r w:rsidRPr="00AC6CAD">
        <w:rPr>
          <w:sz w:val="24"/>
          <w:szCs w:val="24"/>
        </w:rPr>
        <w:t> (CATSI Act) to intervene to solve problems within corporations. The type of power the Registrar uses would depend on the type of rules of the Act and/or the rule book of the corporation which were broken. The Registrar regularly uses its power to examine the records and documents of the corporation so it can detect and prevent the corporation from breaking the rules of the Act and the rule book of the corporation.</w:t>
      </w:r>
    </w:p>
    <w:p w:rsidR="00AC6CAD" w:rsidRPr="00AC6CAD" w:rsidRDefault="00AC6CAD" w:rsidP="00AC6CAD">
      <w:pPr>
        <w:rPr>
          <w:b/>
          <w:bCs/>
          <w:sz w:val="24"/>
          <w:szCs w:val="24"/>
        </w:rPr>
      </w:pPr>
      <w:r w:rsidRPr="00AC6CAD">
        <w:rPr>
          <w:b/>
          <w:bCs/>
          <w:sz w:val="24"/>
          <w:szCs w:val="24"/>
        </w:rPr>
        <w:t>Summary of the Registrar's regulatory powers</w:t>
      </w:r>
    </w:p>
    <w:p w:rsidR="00AC6CAD" w:rsidRPr="00AC6CAD" w:rsidRDefault="00AC6CAD" w:rsidP="00AC6CAD">
      <w:pPr>
        <w:rPr>
          <w:b/>
          <w:bCs/>
          <w:sz w:val="24"/>
          <w:szCs w:val="24"/>
        </w:rPr>
      </w:pPr>
      <w:r w:rsidRPr="00AC6CAD">
        <w:rPr>
          <w:b/>
          <w:bCs/>
          <w:sz w:val="24"/>
          <w:szCs w:val="24"/>
        </w:rPr>
        <w:t>Meetings</w:t>
      </w:r>
    </w:p>
    <w:p w:rsidR="00AC6CAD" w:rsidRPr="00AC6CAD" w:rsidRDefault="00AC6CAD" w:rsidP="00AC6CAD">
      <w:pPr>
        <w:rPr>
          <w:sz w:val="24"/>
          <w:szCs w:val="24"/>
        </w:rPr>
      </w:pPr>
      <w:r w:rsidRPr="00AC6CAD">
        <w:rPr>
          <w:sz w:val="24"/>
          <w:szCs w:val="24"/>
        </w:rPr>
        <w:t>The Registrar may if the need arises:</w:t>
      </w:r>
    </w:p>
    <w:p w:rsidR="00AC6CAD" w:rsidRPr="00AC6CAD" w:rsidRDefault="00AC6CAD" w:rsidP="00AC6CAD">
      <w:pPr>
        <w:numPr>
          <w:ilvl w:val="0"/>
          <w:numId w:val="1"/>
        </w:numPr>
        <w:rPr>
          <w:sz w:val="24"/>
          <w:szCs w:val="24"/>
        </w:rPr>
      </w:pPr>
      <w:r w:rsidRPr="00AC6CAD">
        <w:rPr>
          <w:sz w:val="24"/>
          <w:szCs w:val="24"/>
        </w:rPr>
        <w:t>convene meetings of interested parties (s. 439-5)</w:t>
      </w:r>
    </w:p>
    <w:p w:rsidR="00AC6CAD" w:rsidRPr="00AC6CAD" w:rsidRDefault="00AC6CAD" w:rsidP="00AC6CAD">
      <w:pPr>
        <w:numPr>
          <w:ilvl w:val="0"/>
          <w:numId w:val="1"/>
        </w:numPr>
        <w:rPr>
          <w:sz w:val="24"/>
          <w:szCs w:val="24"/>
        </w:rPr>
      </w:pPr>
      <w:r w:rsidRPr="00AC6CAD">
        <w:rPr>
          <w:sz w:val="24"/>
          <w:szCs w:val="24"/>
        </w:rPr>
        <w:t>call a general meeting (formerly SGMs) (s. 439-10)</w:t>
      </w:r>
    </w:p>
    <w:p w:rsidR="00AC6CAD" w:rsidRPr="00AC6CAD" w:rsidRDefault="00AC6CAD" w:rsidP="00AC6CAD">
      <w:pPr>
        <w:numPr>
          <w:ilvl w:val="0"/>
          <w:numId w:val="1"/>
        </w:numPr>
        <w:rPr>
          <w:sz w:val="24"/>
          <w:szCs w:val="24"/>
        </w:rPr>
      </w:pPr>
      <w:proofErr w:type="gramStart"/>
      <w:r w:rsidRPr="00AC6CAD">
        <w:rPr>
          <w:sz w:val="24"/>
          <w:szCs w:val="24"/>
        </w:rPr>
        <w:t>call</w:t>
      </w:r>
      <w:proofErr w:type="gramEnd"/>
      <w:r w:rsidRPr="00AC6CAD">
        <w:rPr>
          <w:sz w:val="24"/>
          <w:szCs w:val="24"/>
        </w:rPr>
        <w:t xml:space="preserve"> an annual general meeting (s. 439-15).</w:t>
      </w:r>
    </w:p>
    <w:p w:rsidR="00AC6CAD" w:rsidRPr="00AC6CAD" w:rsidRDefault="00AC6CAD" w:rsidP="00AC6CAD">
      <w:pPr>
        <w:rPr>
          <w:sz w:val="24"/>
          <w:szCs w:val="24"/>
        </w:rPr>
      </w:pPr>
      <w:r w:rsidRPr="00AC6CAD">
        <w:rPr>
          <w:sz w:val="24"/>
          <w:szCs w:val="24"/>
        </w:rPr>
        <w:t>The Registrar is to chair these meetings or authorize another person to do so.</w:t>
      </w:r>
    </w:p>
    <w:p w:rsidR="00AC6CAD" w:rsidRPr="00AC6CAD" w:rsidRDefault="00AC6CAD" w:rsidP="00AC6CAD">
      <w:pPr>
        <w:rPr>
          <w:b/>
          <w:bCs/>
          <w:sz w:val="24"/>
          <w:szCs w:val="24"/>
        </w:rPr>
      </w:pPr>
      <w:r w:rsidRPr="00AC6CAD">
        <w:rPr>
          <w:b/>
          <w:bCs/>
          <w:sz w:val="24"/>
          <w:szCs w:val="24"/>
        </w:rPr>
        <w:t>Compliance notices</w:t>
      </w:r>
    </w:p>
    <w:p w:rsidR="00AC6CAD" w:rsidRPr="00AC6CAD" w:rsidRDefault="00AC6CAD" w:rsidP="00AC6CAD">
      <w:pPr>
        <w:rPr>
          <w:sz w:val="24"/>
          <w:szCs w:val="24"/>
        </w:rPr>
      </w:pPr>
      <w:r w:rsidRPr="00AC6CAD">
        <w:rPr>
          <w:sz w:val="24"/>
          <w:szCs w:val="24"/>
        </w:rPr>
        <w:t>Registrar requires compliance with the Act (s. 439-20). (This is the old s. 60A notice under the ACA Act).</w:t>
      </w:r>
    </w:p>
    <w:p w:rsidR="00AC6CAD" w:rsidRPr="00AC6CAD" w:rsidRDefault="00AC6CAD" w:rsidP="00AC6CAD">
      <w:pPr>
        <w:rPr>
          <w:b/>
          <w:bCs/>
          <w:sz w:val="24"/>
          <w:szCs w:val="24"/>
        </w:rPr>
      </w:pPr>
      <w:r w:rsidRPr="00AC6CAD">
        <w:rPr>
          <w:b/>
          <w:bCs/>
          <w:sz w:val="24"/>
          <w:szCs w:val="24"/>
        </w:rPr>
        <w:t>Examinations</w:t>
      </w:r>
    </w:p>
    <w:p w:rsidR="00AC6CAD" w:rsidRPr="00AC6CAD" w:rsidRDefault="00AC6CAD" w:rsidP="00AC6CAD">
      <w:pPr>
        <w:rPr>
          <w:sz w:val="24"/>
          <w:szCs w:val="24"/>
        </w:rPr>
      </w:pPr>
      <w:r w:rsidRPr="00AC6CAD">
        <w:rPr>
          <w:sz w:val="24"/>
          <w:szCs w:val="24"/>
        </w:rPr>
        <w:t>The Registrar may appoint an authorized officer (examiner) at any time to examine the books and records of a corporation (s. 453-1).</w:t>
      </w:r>
    </w:p>
    <w:p w:rsidR="00AC6CAD" w:rsidRPr="00AC6CAD" w:rsidRDefault="00AC6CAD" w:rsidP="00AC6CAD">
      <w:pPr>
        <w:rPr>
          <w:b/>
          <w:bCs/>
          <w:sz w:val="24"/>
          <w:szCs w:val="24"/>
        </w:rPr>
      </w:pPr>
      <w:r w:rsidRPr="00AC6CAD">
        <w:rPr>
          <w:b/>
          <w:bCs/>
          <w:sz w:val="24"/>
          <w:szCs w:val="24"/>
        </w:rPr>
        <w:t>Production of books or attendance to answer questions</w:t>
      </w:r>
    </w:p>
    <w:p w:rsidR="00AC6CAD" w:rsidRPr="00AC6CAD" w:rsidRDefault="00AC6CAD" w:rsidP="00AC6CAD">
      <w:pPr>
        <w:rPr>
          <w:sz w:val="24"/>
          <w:szCs w:val="24"/>
        </w:rPr>
      </w:pPr>
      <w:r w:rsidRPr="00AC6CAD">
        <w:rPr>
          <w:sz w:val="24"/>
          <w:szCs w:val="24"/>
        </w:rPr>
        <w:lastRenderedPageBreak/>
        <w:t>Under s. 453-5 the Registrar may give notice to a person who has some knowledge of the examinable affairs of the corporation to:</w:t>
      </w:r>
    </w:p>
    <w:p w:rsidR="00AC6CAD" w:rsidRPr="00AC6CAD" w:rsidRDefault="00AC6CAD" w:rsidP="00AC6CAD">
      <w:pPr>
        <w:numPr>
          <w:ilvl w:val="0"/>
          <w:numId w:val="2"/>
        </w:numPr>
        <w:rPr>
          <w:sz w:val="24"/>
          <w:szCs w:val="24"/>
        </w:rPr>
      </w:pPr>
      <w:r w:rsidRPr="00AC6CAD">
        <w:rPr>
          <w:sz w:val="24"/>
          <w:szCs w:val="24"/>
        </w:rPr>
        <w:t>provide the Registrar with information about the corporation or its examinable affairs</w:t>
      </w:r>
    </w:p>
    <w:p w:rsidR="00AC6CAD" w:rsidRPr="00AC6CAD" w:rsidRDefault="00AC6CAD" w:rsidP="00AC6CAD">
      <w:pPr>
        <w:numPr>
          <w:ilvl w:val="0"/>
          <w:numId w:val="2"/>
        </w:numPr>
        <w:rPr>
          <w:sz w:val="24"/>
          <w:szCs w:val="24"/>
        </w:rPr>
      </w:pPr>
      <w:r w:rsidRPr="00AC6CAD">
        <w:rPr>
          <w:sz w:val="24"/>
          <w:szCs w:val="24"/>
        </w:rPr>
        <w:t>produce any books and records about the corporation</w:t>
      </w:r>
    </w:p>
    <w:p w:rsidR="00AC6CAD" w:rsidRPr="00AC6CAD" w:rsidRDefault="00AC6CAD" w:rsidP="00AC6CAD">
      <w:pPr>
        <w:numPr>
          <w:ilvl w:val="0"/>
          <w:numId w:val="2"/>
        </w:numPr>
        <w:rPr>
          <w:sz w:val="24"/>
          <w:szCs w:val="24"/>
        </w:rPr>
      </w:pPr>
      <w:proofErr w:type="gramStart"/>
      <w:r w:rsidRPr="00AC6CAD">
        <w:rPr>
          <w:sz w:val="24"/>
          <w:szCs w:val="24"/>
        </w:rPr>
        <w:t>appear</w:t>
      </w:r>
      <w:proofErr w:type="gramEnd"/>
      <w:r w:rsidRPr="00AC6CAD">
        <w:rPr>
          <w:sz w:val="24"/>
          <w:szCs w:val="24"/>
        </w:rPr>
        <w:t xml:space="preserve"> before the Registrar to answer questions about the corporation.</w:t>
      </w:r>
    </w:p>
    <w:p w:rsidR="00AC6CAD" w:rsidRPr="00AC6CAD" w:rsidRDefault="00AC6CAD" w:rsidP="00AC6CAD">
      <w:pPr>
        <w:rPr>
          <w:b/>
          <w:bCs/>
          <w:sz w:val="24"/>
          <w:szCs w:val="24"/>
        </w:rPr>
      </w:pPr>
      <w:r w:rsidRPr="00AC6CAD">
        <w:rPr>
          <w:b/>
          <w:bCs/>
          <w:sz w:val="24"/>
          <w:szCs w:val="24"/>
        </w:rPr>
        <w:t>Issue warrants</w:t>
      </w:r>
    </w:p>
    <w:p w:rsidR="00AC6CAD" w:rsidRPr="00AC6CAD" w:rsidRDefault="00AC6CAD" w:rsidP="00AC6CAD">
      <w:pPr>
        <w:rPr>
          <w:sz w:val="24"/>
          <w:szCs w:val="24"/>
        </w:rPr>
      </w:pPr>
      <w:r w:rsidRPr="00AC6CAD">
        <w:rPr>
          <w:sz w:val="24"/>
          <w:szCs w:val="24"/>
        </w:rPr>
        <w:t>Division 456 gives the Registrar the power ask the court to issue warrants to obtain information about a corporation if the information can’t be obtained via s. 453-1 or s. 453-5.</w:t>
      </w:r>
    </w:p>
    <w:p w:rsidR="00AC6CAD" w:rsidRPr="00AC6CAD" w:rsidRDefault="00AC6CAD" w:rsidP="00AC6CAD">
      <w:pPr>
        <w:rPr>
          <w:b/>
          <w:bCs/>
          <w:sz w:val="24"/>
          <w:szCs w:val="24"/>
        </w:rPr>
      </w:pPr>
      <w:r w:rsidRPr="00AC6CAD">
        <w:rPr>
          <w:b/>
          <w:bCs/>
          <w:sz w:val="24"/>
          <w:szCs w:val="24"/>
        </w:rPr>
        <w:t>Protection for whistleblowers</w:t>
      </w:r>
    </w:p>
    <w:p w:rsidR="00AC6CAD" w:rsidRPr="00AC6CAD" w:rsidRDefault="00AC6CAD" w:rsidP="00AC6CAD">
      <w:pPr>
        <w:rPr>
          <w:sz w:val="24"/>
          <w:szCs w:val="24"/>
        </w:rPr>
      </w:pPr>
      <w:r w:rsidRPr="00AC6CAD">
        <w:rPr>
          <w:sz w:val="24"/>
          <w:szCs w:val="24"/>
        </w:rPr>
        <w:t>There is provision for whistleblowers in the CATSI Act (Division 466).</w:t>
      </w:r>
    </w:p>
    <w:p w:rsidR="00AC6CAD" w:rsidRPr="00AC6CAD" w:rsidRDefault="00AC6CAD" w:rsidP="00AC6CAD">
      <w:pPr>
        <w:rPr>
          <w:b/>
          <w:bCs/>
          <w:sz w:val="24"/>
          <w:szCs w:val="24"/>
        </w:rPr>
      </w:pPr>
      <w:r w:rsidRPr="00AC6CAD">
        <w:rPr>
          <w:b/>
          <w:bCs/>
          <w:sz w:val="24"/>
          <w:szCs w:val="24"/>
        </w:rPr>
        <w:t>External administration</w:t>
      </w:r>
    </w:p>
    <w:p w:rsidR="00AC6CAD" w:rsidRPr="00AC6CAD" w:rsidRDefault="00AC6CAD" w:rsidP="00AC6CAD">
      <w:pPr>
        <w:rPr>
          <w:sz w:val="24"/>
          <w:szCs w:val="24"/>
        </w:rPr>
      </w:pPr>
      <w:r w:rsidRPr="00AC6CAD">
        <w:rPr>
          <w:sz w:val="24"/>
          <w:szCs w:val="24"/>
        </w:rPr>
        <w:t>Under the CATSI Act the Registrar needs to make several determinations when appointing a special administrator:</w:t>
      </w:r>
    </w:p>
    <w:p w:rsidR="00AC6CAD" w:rsidRPr="00AC6CAD" w:rsidRDefault="00AC6CAD" w:rsidP="00AC6CAD">
      <w:pPr>
        <w:numPr>
          <w:ilvl w:val="0"/>
          <w:numId w:val="3"/>
        </w:numPr>
        <w:rPr>
          <w:sz w:val="24"/>
          <w:szCs w:val="24"/>
        </w:rPr>
      </w:pPr>
      <w:r w:rsidRPr="00AC6CAD">
        <w:rPr>
          <w:sz w:val="24"/>
          <w:szCs w:val="24"/>
        </w:rPr>
        <w:t>that the corporation be placed in special administration (s. 487-1)</w:t>
      </w:r>
    </w:p>
    <w:p w:rsidR="00AC6CAD" w:rsidRPr="00AC6CAD" w:rsidRDefault="00AC6CAD" w:rsidP="00AC6CAD">
      <w:pPr>
        <w:numPr>
          <w:ilvl w:val="0"/>
          <w:numId w:val="3"/>
        </w:numPr>
        <w:rPr>
          <w:sz w:val="24"/>
          <w:szCs w:val="24"/>
        </w:rPr>
      </w:pPr>
      <w:r w:rsidRPr="00AC6CAD">
        <w:rPr>
          <w:sz w:val="24"/>
          <w:szCs w:val="24"/>
        </w:rPr>
        <w:t>the appointment of a special administrator (the person) (s. 490-1 and s. 490-5)</w:t>
      </w:r>
    </w:p>
    <w:p w:rsidR="00AC6CAD" w:rsidRPr="00AC6CAD" w:rsidRDefault="00AC6CAD" w:rsidP="00AC6CAD">
      <w:pPr>
        <w:numPr>
          <w:ilvl w:val="0"/>
          <w:numId w:val="3"/>
        </w:numPr>
        <w:rPr>
          <w:sz w:val="24"/>
          <w:szCs w:val="24"/>
        </w:rPr>
      </w:pPr>
      <w:r w:rsidRPr="00AC6CAD">
        <w:rPr>
          <w:sz w:val="24"/>
          <w:szCs w:val="24"/>
        </w:rPr>
        <w:t>the period of the appointment (s. 487-1 and s. 487-15)</w:t>
      </w:r>
    </w:p>
    <w:p w:rsidR="00AC6CAD" w:rsidRPr="00AC6CAD" w:rsidRDefault="00AC6CAD" w:rsidP="00AC6CAD">
      <w:pPr>
        <w:numPr>
          <w:ilvl w:val="0"/>
          <w:numId w:val="3"/>
        </w:numPr>
        <w:rPr>
          <w:sz w:val="24"/>
          <w:szCs w:val="24"/>
        </w:rPr>
      </w:pPr>
      <w:proofErr w:type="gramStart"/>
      <w:r w:rsidRPr="00AC6CAD">
        <w:rPr>
          <w:sz w:val="24"/>
          <w:szCs w:val="24"/>
        </w:rPr>
        <w:t>whether</w:t>
      </w:r>
      <w:proofErr w:type="gramEnd"/>
      <w:r w:rsidRPr="00AC6CAD">
        <w:rPr>
          <w:sz w:val="24"/>
          <w:szCs w:val="24"/>
        </w:rPr>
        <w:t xml:space="preserve"> the directors will be removed from office during the term of the special administration (s. 496-5).</w:t>
      </w:r>
    </w:p>
    <w:p w:rsidR="00AC6CAD" w:rsidRPr="00AC6CAD" w:rsidRDefault="00AC6CAD" w:rsidP="00AC6CAD">
      <w:pPr>
        <w:rPr>
          <w:sz w:val="24"/>
          <w:szCs w:val="24"/>
        </w:rPr>
      </w:pPr>
      <w:r w:rsidRPr="00AC6CAD">
        <w:rPr>
          <w:sz w:val="24"/>
          <w:szCs w:val="24"/>
        </w:rPr>
        <w:t>Note: Approval by the minister is not required for the appointment of a special administrator.</w:t>
      </w:r>
    </w:p>
    <w:p w:rsidR="00AC6CAD" w:rsidRPr="00AC6CAD" w:rsidRDefault="00AC6CAD" w:rsidP="00AC6CAD">
      <w:pPr>
        <w:rPr>
          <w:b/>
          <w:bCs/>
          <w:sz w:val="24"/>
          <w:szCs w:val="24"/>
        </w:rPr>
      </w:pPr>
      <w:r w:rsidRPr="00AC6CAD">
        <w:rPr>
          <w:b/>
          <w:bCs/>
          <w:sz w:val="24"/>
          <w:szCs w:val="24"/>
        </w:rPr>
        <w:t>Grounds for special administration</w:t>
      </w:r>
    </w:p>
    <w:p w:rsidR="00AC6CAD" w:rsidRPr="00AC6CAD" w:rsidRDefault="00AC6CAD" w:rsidP="00AC6CAD">
      <w:pPr>
        <w:rPr>
          <w:sz w:val="24"/>
          <w:szCs w:val="24"/>
        </w:rPr>
      </w:pPr>
      <w:r w:rsidRPr="00AC6CAD">
        <w:rPr>
          <w:sz w:val="24"/>
          <w:szCs w:val="24"/>
        </w:rPr>
        <w:t>Some increased powers (via additional grounds) are available for appointment of special administrators. All of the grounds for an appointment are detailed in s. 487-5. The additional grounds are:</w:t>
      </w:r>
    </w:p>
    <w:p w:rsidR="00AC6CAD" w:rsidRPr="00AC6CAD" w:rsidRDefault="00AC6CAD" w:rsidP="00AC6CAD">
      <w:pPr>
        <w:numPr>
          <w:ilvl w:val="0"/>
          <w:numId w:val="4"/>
        </w:numPr>
        <w:rPr>
          <w:sz w:val="24"/>
          <w:szCs w:val="24"/>
        </w:rPr>
      </w:pPr>
      <w:r w:rsidRPr="00AC6CAD">
        <w:rPr>
          <w:sz w:val="24"/>
          <w:szCs w:val="24"/>
        </w:rPr>
        <w:t>the corporation has failed to comply with a s. 439-20 compliance notice</w:t>
      </w:r>
    </w:p>
    <w:p w:rsidR="00AC6CAD" w:rsidRPr="00AC6CAD" w:rsidRDefault="00AC6CAD" w:rsidP="00AC6CAD">
      <w:pPr>
        <w:numPr>
          <w:ilvl w:val="0"/>
          <w:numId w:val="4"/>
        </w:numPr>
        <w:rPr>
          <w:sz w:val="24"/>
          <w:szCs w:val="24"/>
        </w:rPr>
      </w:pPr>
      <w:r w:rsidRPr="00AC6CAD">
        <w:rPr>
          <w:sz w:val="24"/>
          <w:szCs w:val="24"/>
        </w:rPr>
        <w:t>the corporation has failed to lodge its annual reports (Part 7-3)</w:t>
      </w:r>
    </w:p>
    <w:p w:rsidR="00AC6CAD" w:rsidRPr="00AC6CAD" w:rsidRDefault="00AC6CAD" w:rsidP="00AC6CAD">
      <w:pPr>
        <w:numPr>
          <w:ilvl w:val="0"/>
          <w:numId w:val="4"/>
        </w:numPr>
        <w:rPr>
          <w:sz w:val="24"/>
          <w:szCs w:val="24"/>
        </w:rPr>
      </w:pPr>
      <w:r w:rsidRPr="00AC6CAD">
        <w:rPr>
          <w:sz w:val="24"/>
          <w:szCs w:val="24"/>
        </w:rPr>
        <w:t>if there are disputes that interfere with the corporation’s operations</w:t>
      </w:r>
    </w:p>
    <w:p w:rsidR="00AC6CAD" w:rsidRPr="00AC6CAD" w:rsidRDefault="00AC6CAD" w:rsidP="00AC6CAD">
      <w:pPr>
        <w:numPr>
          <w:ilvl w:val="0"/>
          <w:numId w:val="4"/>
        </w:numPr>
        <w:rPr>
          <w:sz w:val="24"/>
          <w:szCs w:val="24"/>
        </w:rPr>
      </w:pPr>
      <w:proofErr w:type="gramStart"/>
      <w:r w:rsidRPr="00AC6CAD">
        <w:rPr>
          <w:sz w:val="24"/>
          <w:szCs w:val="24"/>
        </w:rPr>
        <w:lastRenderedPageBreak/>
        <w:t>if</w:t>
      </w:r>
      <w:proofErr w:type="gramEnd"/>
      <w:r w:rsidRPr="00AC6CAD">
        <w:rPr>
          <w:sz w:val="24"/>
          <w:szCs w:val="24"/>
        </w:rPr>
        <w:t xml:space="preserve"> a majority of directors write to the Registrar and ask for the appointment.</w:t>
      </w:r>
    </w:p>
    <w:p w:rsidR="00AC6CAD" w:rsidRPr="00AC6CAD" w:rsidRDefault="00AC6CAD" w:rsidP="00AC6CAD">
      <w:pPr>
        <w:rPr>
          <w:b/>
          <w:bCs/>
          <w:sz w:val="24"/>
          <w:szCs w:val="24"/>
        </w:rPr>
      </w:pPr>
      <w:r w:rsidRPr="00AC6CAD">
        <w:rPr>
          <w:b/>
          <w:bCs/>
          <w:sz w:val="24"/>
          <w:szCs w:val="24"/>
        </w:rPr>
        <w:t>Disqualifying people from managing corporation</w:t>
      </w:r>
    </w:p>
    <w:p w:rsidR="00AC6CAD" w:rsidRPr="00AC6CAD" w:rsidRDefault="00AC6CAD" w:rsidP="00AC6CAD">
      <w:pPr>
        <w:rPr>
          <w:sz w:val="24"/>
          <w:szCs w:val="24"/>
        </w:rPr>
      </w:pPr>
      <w:r w:rsidRPr="00AC6CAD">
        <w:rPr>
          <w:sz w:val="24"/>
          <w:szCs w:val="24"/>
        </w:rPr>
        <w:t>The CATSI Act has provisions to disqualify people from managing corporations (i.e. from being a director or a chief executive officer or chief financial officer). There are three ways this can happen:</w:t>
      </w:r>
    </w:p>
    <w:p w:rsidR="00AC6CAD" w:rsidRPr="00AC6CAD" w:rsidRDefault="00AC6CAD" w:rsidP="00AC6CAD">
      <w:pPr>
        <w:numPr>
          <w:ilvl w:val="0"/>
          <w:numId w:val="5"/>
        </w:numPr>
        <w:rPr>
          <w:sz w:val="24"/>
          <w:szCs w:val="24"/>
        </w:rPr>
      </w:pPr>
      <w:r w:rsidRPr="00AC6CAD">
        <w:rPr>
          <w:sz w:val="24"/>
          <w:szCs w:val="24"/>
        </w:rPr>
        <w:t>automatic disqualification (s. 279-5)</w:t>
      </w:r>
    </w:p>
    <w:p w:rsidR="00AC6CAD" w:rsidRPr="00AC6CAD" w:rsidRDefault="00AC6CAD" w:rsidP="00AC6CAD">
      <w:pPr>
        <w:numPr>
          <w:ilvl w:val="0"/>
          <w:numId w:val="5"/>
        </w:numPr>
        <w:rPr>
          <w:sz w:val="24"/>
          <w:szCs w:val="24"/>
        </w:rPr>
      </w:pPr>
      <w:r w:rsidRPr="00AC6CAD">
        <w:rPr>
          <w:sz w:val="24"/>
          <w:szCs w:val="24"/>
        </w:rPr>
        <w:t>the court may decide a person is disqualified (s. 279-15)</w:t>
      </w:r>
    </w:p>
    <w:p w:rsidR="00AC6CAD" w:rsidRPr="00AC6CAD" w:rsidRDefault="00AC6CAD" w:rsidP="00AC6CAD">
      <w:pPr>
        <w:numPr>
          <w:ilvl w:val="0"/>
          <w:numId w:val="5"/>
        </w:numPr>
        <w:rPr>
          <w:sz w:val="24"/>
          <w:szCs w:val="24"/>
        </w:rPr>
      </w:pPr>
      <w:proofErr w:type="gramStart"/>
      <w:r w:rsidRPr="00AC6CAD">
        <w:rPr>
          <w:sz w:val="24"/>
          <w:szCs w:val="24"/>
        </w:rPr>
        <w:t>the</w:t>
      </w:r>
      <w:proofErr w:type="gramEnd"/>
      <w:r w:rsidRPr="00AC6CAD">
        <w:rPr>
          <w:sz w:val="24"/>
          <w:szCs w:val="24"/>
        </w:rPr>
        <w:t xml:space="preserve"> Registrar has a power to disqualify a person (s. 279-30).</w:t>
      </w:r>
    </w:p>
    <w:p w:rsidR="00AC6CAD" w:rsidRPr="00AC6CAD" w:rsidRDefault="00AC6CAD" w:rsidP="00AC6CAD">
      <w:pPr>
        <w:rPr>
          <w:b/>
          <w:bCs/>
          <w:sz w:val="24"/>
          <w:szCs w:val="24"/>
        </w:rPr>
      </w:pPr>
      <w:r w:rsidRPr="00AC6CAD">
        <w:rPr>
          <w:b/>
          <w:bCs/>
          <w:sz w:val="24"/>
          <w:szCs w:val="24"/>
        </w:rPr>
        <w:t>Winding up</w:t>
      </w:r>
    </w:p>
    <w:p w:rsidR="00AC6CAD" w:rsidRPr="00AC6CAD" w:rsidRDefault="00AC6CAD" w:rsidP="00AC6CAD">
      <w:pPr>
        <w:rPr>
          <w:sz w:val="24"/>
          <w:szCs w:val="24"/>
        </w:rPr>
      </w:pPr>
      <w:r w:rsidRPr="00AC6CAD">
        <w:rPr>
          <w:sz w:val="24"/>
          <w:szCs w:val="24"/>
        </w:rPr>
        <w:t>The CATSI Act has provisions for the winding up of corporations (Division 526).</w:t>
      </w:r>
    </w:p>
    <w:p w:rsidR="00AC6CAD" w:rsidRPr="00AC6CAD" w:rsidRDefault="00AC6CAD" w:rsidP="00AC6CAD">
      <w:pPr>
        <w:rPr>
          <w:b/>
          <w:bCs/>
          <w:sz w:val="24"/>
          <w:szCs w:val="24"/>
        </w:rPr>
      </w:pPr>
      <w:r w:rsidRPr="00AC6CAD">
        <w:rPr>
          <w:b/>
          <w:bCs/>
          <w:sz w:val="24"/>
          <w:szCs w:val="24"/>
        </w:rPr>
        <w:t>Deregistration</w:t>
      </w:r>
    </w:p>
    <w:p w:rsidR="00AC6CAD" w:rsidRPr="00AC6CAD" w:rsidRDefault="00AC6CAD" w:rsidP="00AC6CAD">
      <w:pPr>
        <w:rPr>
          <w:sz w:val="24"/>
          <w:szCs w:val="24"/>
        </w:rPr>
      </w:pPr>
      <w:r w:rsidRPr="00AC6CAD">
        <w:rPr>
          <w:sz w:val="24"/>
          <w:szCs w:val="24"/>
        </w:rPr>
        <w:t xml:space="preserve">The CATSI Act has provisions for </w:t>
      </w:r>
      <w:proofErr w:type="gramStart"/>
      <w:r w:rsidRPr="00AC6CAD">
        <w:rPr>
          <w:sz w:val="24"/>
          <w:szCs w:val="24"/>
        </w:rPr>
        <w:t>the deregistration</w:t>
      </w:r>
      <w:proofErr w:type="gramEnd"/>
      <w:r w:rsidRPr="00AC6CAD">
        <w:rPr>
          <w:sz w:val="24"/>
          <w:szCs w:val="24"/>
        </w:rPr>
        <w:t xml:space="preserve"> of corporations (Division 546).</w:t>
      </w:r>
    </w:p>
    <w:p w:rsidR="00AC6CAD" w:rsidRPr="00AC6CAD" w:rsidRDefault="00AC6CAD" w:rsidP="00AC6CAD">
      <w:pPr>
        <w:rPr>
          <w:b/>
          <w:bCs/>
          <w:sz w:val="24"/>
          <w:szCs w:val="24"/>
        </w:rPr>
      </w:pPr>
      <w:r w:rsidRPr="00AC6CAD">
        <w:rPr>
          <w:b/>
          <w:bCs/>
          <w:sz w:val="24"/>
          <w:szCs w:val="24"/>
        </w:rPr>
        <w:t>Reviewable decisions</w:t>
      </w:r>
    </w:p>
    <w:p w:rsidR="00AC6CAD" w:rsidRPr="00AC6CAD" w:rsidRDefault="00AC6CAD" w:rsidP="00AC6CAD">
      <w:pPr>
        <w:numPr>
          <w:ilvl w:val="0"/>
          <w:numId w:val="6"/>
        </w:numPr>
        <w:rPr>
          <w:sz w:val="24"/>
          <w:szCs w:val="24"/>
        </w:rPr>
      </w:pPr>
      <w:r w:rsidRPr="00AC6CAD">
        <w:rPr>
          <w:sz w:val="24"/>
          <w:szCs w:val="24"/>
        </w:rPr>
        <w:t>Internal reviews</w:t>
      </w:r>
    </w:p>
    <w:p w:rsidR="00AC6CAD" w:rsidRPr="00AC6CAD" w:rsidRDefault="00AC6CAD" w:rsidP="00AC6CAD">
      <w:pPr>
        <w:numPr>
          <w:ilvl w:val="0"/>
          <w:numId w:val="6"/>
        </w:numPr>
        <w:rPr>
          <w:sz w:val="24"/>
          <w:szCs w:val="24"/>
        </w:rPr>
      </w:pPr>
      <w:r w:rsidRPr="00AC6CAD">
        <w:rPr>
          <w:sz w:val="24"/>
          <w:szCs w:val="24"/>
        </w:rPr>
        <w:t>Administrative Appeals Tribunal (AAT) reviews</w:t>
      </w:r>
    </w:p>
    <w:p w:rsidR="00B11CC6" w:rsidRDefault="00B11CC6"/>
    <w:sectPr w:rsidR="00B11C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6691A"/>
    <w:multiLevelType w:val="multilevel"/>
    <w:tmpl w:val="9C0C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E2AEF"/>
    <w:multiLevelType w:val="multilevel"/>
    <w:tmpl w:val="C0EE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F668A7"/>
    <w:multiLevelType w:val="multilevel"/>
    <w:tmpl w:val="328E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F01108"/>
    <w:multiLevelType w:val="multilevel"/>
    <w:tmpl w:val="322E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5D7FD8"/>
    <w:multiLevelType w:val="multilevel"/>
    <w:tmpl w:val="A2400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37C2B16"/>
    <w:multiLevelType w:val="multilevel"/>
    <w:tmpl w:val="6A6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CAD"/>
    <w:rsid w:val="00AC6CAD"/>
    <w:rsid w:val="00B11C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CAD"/>
    <w:rPr>
      <w:color w:val="0000FF" w:themeColor="hyperlink"/>
      <w:u w:val="single"/>
    </w:rPr>
  </w:style>
  <w:style w:type="paragraph" w:styleId="BalloonText">
    <w:name w:val="Balloon Text"/>
    <w:basedOn w:val="Normal"/>
    <w:link w:val="BalloonTextChar"/>
    <w:uiPriority w:val="99"/>
    <w:semiHidden/>
    <w:unhideWhenUsed/>
    <w:rsid w:val="00AC6C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C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CAD"/>
    <w:rPr>
      <w:color w:val="0000FF" w:themeColor="hyperlink"/>
      <w:u w:val="single"/>
    </w:rPr>
  </w:style>
  <w:style w:type="paragraph" w:styleId="BalloonText">
    <w:name w:val="Balloon Text"/>
    <w:basedOn w:val="Normal"/>
    <w:link w:val="BalloonTextChar"/>
    <w:uiPriority w:val="99"/>
    <w:semiHidden/>
    <w:unhideWhenUsed/>
    <w:rsid w:val="00AC6C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C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462471">
      <w:bodyDiv w:val="1"/>
      <w:marLeft w:val="0"/>
      <w:marRight w:val="0"/>
      <w:marTop w:val="0"/>
      <w:marBottom w:val="0"/>
      <w:divBdr>
        <w:top w:val="none" w:sz="0" w:space="0" w:color="auto"/>
        <w:left w:val="none" w:sz="0" w:space="0" w:color="auto"/>
        <w:bottom w:val="none" w:sz="0" w:space="0" w:color="auto"/>
        <w:right w:val="none" w:sz="0" w:space="0" w:color="auto"/>
      </w:divBdr>
      <w:divsChild>
        <w:div w:id="558979851">
          <w:marLeft w:val="0"/>
          <w:marRight w:val="0"/>
          <w:marTop w:val="0"/>
          <w:marBottom w:val="0"/>
          <w:divBdr>
            <w:top w:val="none" w:sz="0" w:space="0" w:color="auto"/>
            <w:left w:val="none" w:sz="0" w:space="0" w:color="auto"/>
            <w:bottom w:val="none" w:sz="0" w:space="0" w:color="auto"/>
            <w:right w:val="none" w:sz="0" w:space="0" w:color="auto"/>
          </w:divBdr>
          <w:divsChild>
            <w:div w:id="674115938">
              <w:marLeft w:val="0"/>
              <w:marRight w:val="0"/>
              <w:marTop w:val="0"/>
              <w:marBottom w:val="0"/>
              <w:divBdr>
                <w:top w:val="none" w:sz="0" w:space="0" w:color="auto"/>
                <w:left w:val="none" w:sz="0" w:space="0" w:color="auto"/>
                <w:bottom w:val="none" w:sz="0" w:space="0" w:color="auto"/>
                <w:right w:val="none" w:sz="0" w:space="0" w:color="auto"/>
              </w:divBdr>
              <w:divsChild>
                <w:div w:id="362555382">
                  <w:marLeft w:val="0"/>
                  <w:marRight w:val="0"/>
                  <w:marTop w:val="0"/>
                  <w:marBottom w:val="0"/>
                  <w:divBdr>
                    <w:top w:val="none" w:sz="0" w:space="0" w:color="auto"/>
                    <w:left w:val="none" w:sz="0" w:space="0" w:color="auto"/>
                    <w:bottom w:val="none" w:sz="0" w:space="0" w:color="auto"/>
                    <w:right w:val="none" w:sz="0" w:space="0" w:color="auto"/>
                  </w:divBdr>
                  <w:divsChild>
                    <w:div w:id="196635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ric.gov.au/catsi-act/regulatory-pow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Hart</dc:creator>
  <cp:lastModifiedBy>John Hart</cp:lastModifiedBy>
  <cp:revision>1</cp:revision>
  <dcterms:created xsi:type="dcterms:W3CDTF">2016-03-31T06:13:00Z</dcterms:created>
  <dcterms:modified xsi:type="dcterms:W3CDTF">2016-03-31T06:20:00Z</dcterms:modified>
</cp:coreProperties>
</file>